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000"/>
        <w:jc w:val="center"/>
      </w:pPr>
      <w:r>
        <w:rPr>
          <w:rFonts w:ascii="Inter" w:cs="Inter" w:eastAsia="Inter" w:hAnsi="Inter"/>
          <w:b/>
          <w:bCs/>
          <w:color w:val="D97706"/>
          <w:sz w:val="22"/>
          <w:szCs w:val="22"/>
        </w:rPr>
        <w:t xml:space="preserve">ARCUS, INC.</w:t>
      </w:r>
    </w:p>
    <w:p>
      <w:pPr>
        <w:spacing w:after="80"/>
        <w:jc w:val="center"/>
      </w:pPr>
      <w:r>
        <w:rPr>
          <w:rFonts w:ascii="Inter" w:cs="Inter" w:eastAsia="Inter" w:hAnsi="Inter"/>
          <w:b/>
          <w:bCs/>
          <w:color w:val="1E2761"/>
          <w:sz w:val="48"/>
          <w:szCs w:val="48"/>
        </w:rPr>
        <w:t xml:space="preserve">Board of Directors</w:t>
      </w:r>
    </w:p>
    <w:p>
      <w:pPr>
        <w:spacing w:after="240"/>
        <w:jc w:val="center"/>
      </w:pPr>
      <w:r>
        <w:rPr>
          <w:rFonts w:ascii="Inter" w:cs="Inter" w:eastAsia="Inter" w:hAnsi="Inter"/>
          <w:b/>
          <w:bCs/>
          <w:color w:val="1E2761"/>
          <w:sz w:val="40"/>
          <w:szCs w:val="40"/>
        </w:rPr>
        <w:t xml:space="preserve">Minutes &amp; Written Consents</w:t>
      </w:r>
    </w:p>
    <w:p>
      <w:pPr>
        <w:spacing w:after="240"/>
        <w:jc w:val="center"/>
      </w:pPr>
      <w:r>
        <w:rPr>
          <w:rFonts w:ascii="Inter" w:cs="Inter" w:eastAsia="Inter" w:hAnsi="Inter"/>
          <w:i/>
          <w:iCs/>
          <w:color w:val="0F172A"/>
          <w:sz w:val="22"/>
          <w:szCs w:val="22"/>
        </w:rPr>
        <w:t xml:space="preserve">Selected Meetings and Actions · November 2025 – March 2026</w:t>
      </w:r>
    </w:p>
    <w:p>
      <w:pPr>
        <w:spacing w:after="2400"/>
        <w:jc w:val="center"/>
      </w:pPr>
      <w:r>
        <w:rPr>
          <w:rFonts w:ascii="Inter" w:cs="Inter" w:eastAsia="Inter" w:hAnsi="Inter"/>
          <w:color w:val="6B7280"/>
          <w:sz w:val="18"/>
          <w:szCs w:val="18"/>
        </w:rPr>
        <w:t xml:space="preserve">Project Atlas · Strictly Confidential · Attorney Work Product</w:t>
      </w:r>
    </w:p>
    <w:p>
      <w:pPr>
        <w:jc w:val="center"/>
      </w:pPr>
      <w:r>
        <w:rPr>
          <w:rFonts w:ascii="Inter" w:cs="Inter" w:eastAsia="Inter" w:hAnsi="Inter"/>
          <w:color w:val="0F172A"/>
          <w:sz w:val="20"/>
          <w:szCs w:val="20"/>
        </w:rPr>
        <w:t xml:space="preserve">Compiled by Maria Alvarez, General Counsel</w:t>
      </w:r>
    </w:p>
    <w:p>
      <w:pPr>
        <w:jc w:val="center"/>
      </w:pPr>
      <w:r>
        <w:rPr>
          <w:rFonts w:ascii="Inter" w:cs="Inter" w:eastAsia="Inter" w:hAnsi="Inter"/>
          <w:color w:val="6B7280"/>
          <w:sz w:val="18"/>
          <w:szCs w:val="18"/>
        </w:rPr>
        <w:t xml:space="preserve">for Arcus, Inc., a Delaware corporation</w:t>
      </w:r>
    </w:p>
    <w:p>
      <w:r>
        <w:br w:type="page"/>
      </w:r>
    </w:p>
    <w:p>
      <w:pPr>
        <w:pStyle w:val="Heading1"/>
        <w:spacing w:after="180" w:before="360"/>
      </w:pPr>
      <w:r>
        <w:rPr>
          <w:rFonts w:ascii="Inter" w:cs="Inter" w:eastAsia="Inter" w:hAnsi="Inter"/>
          <w:b/>
          <w:bCs/>
          <w:color w:val="1E2761"/>
          <w:sz w:val="30"/>
          <w:szCs w:val="30"/>
        </w:rPr>
        <w:t xml:space="preserve">Contents</w:t>
      </w:r>
    </w:p>
    <w:p>
      <w:pPr>
        <w:spacing w:after="120" w:line="300"/>
      </w:pPr>
      <w:r>
        <w:rPr>
          <w:rFonts w:ascii="Inter" w:cs="Inter" w:eastAsia="Inter" w:hAnsi="Inter"/>
          <w:color w:val="0F172A"/>
          <w:sz w:val="20"/>
          <w:szCs w:val="20"/>
        </w:rPr>
        <w:t xml:space="preserve">This document contains the minutes of selected meetings of the Board of Directors of Arcus, Inc., together with key written consents executed in lieu of meeting, covering the period from November 2025 through March 2026. The minutes have been approved in the ordinary course by the Board and are reproduced here for the purposes of investor due diligence. Certain confidential commercial details have been redacted where noted.</w:t>
      </w:r>
    </w:p>
    <w:p>
      <w:pPr>
        <w:pStyle w:val="ListParagraph"/>
        <w:numPr>
          <w:ilvl w:val="0"/>
          <w:numId w:val="2"/>
        </w:numPr>
        <w:spacing w:after="60"/>
      </w:pPr>
      <w:r>
        <w:rPr>
          <w:rFonts w:ascii="Inter" w:cs="Inter" w:eastAsia="Inter" w:hAnsi="Inter"/>
          <w:color w:val="0F172A"/>
          <w:sz w:val="20"/>
          <w:szCs w:val="20"/>
        </w:rPr>
        <w:t xml:space="preserve">Q4 2025 Board Meeting — November 14, 2025</w:t>
      </w:r>
    </w:p>
    <w:p>
      <w:pPr>
        <w:pStyle w:val="ListParagraph"/>
        <w:numPr>
          <w:ilvl w:val="0"/>
          <w:numId w:val="2"/>
        </w:numPr>
        <w:spacing w:after="60"/>
      </w:pPr>
      <w:r>
        <w:rPr>
          <w:rFonts w:ascii="Inter" w:cs="Inter" w:eastAsia="Inter" w:hAnsi="Inter"/>
          <w:color w:val="0F172A"/>
          <w:sz w:val="20"/>
          <w:szCs w:val="20"/>
        </w:rPr>
        <w:t xml:space="preserve">Written Consent in Lieu of Meeting — CTO Transition — November 18, 2025</w:t>
      </w:r>
    </w:p>
    <w:p>
      <w:pPr>
        <w:pStyle w:val="ListParagraph"/>
        <w:numPr>
          <w:ilvl w:val="0"/>
          <w:numId w:val="2"/>
        </w:numPr>
        <w:spacing w:after="60"/>
      </w:pPr>
      <w:r>
        <w:rPr>
          <w:rFonts w:ascii="Inter" w:cs="Inter" w:eastAsia="Inter" w:hAnsi="Inter"/>
          <w:color w:val="0F172A"/>
          <w:sz w:val="20"/>
          <w:szCs w:val="20"/>
        </w:rPr>
        <w:t xml:space="preserve">Written Consent — Series B Process Authorization — January 22, 2026</w:t>
      </w:r>
    </w:p>
    <w:p>
      <w:pPr>
        <w:pStyle w:val="ListParagraph"/>
        <w:numPr>
          <w:ilvl w:val="0"/>
          <w:numId w:val="2"/>
        </w:numPr>
        <w:spacing w:after="60"/>
      </w:pPr>
      <w:r>
        <w:rPr>
          <w:rFonts w:ascii="Inter" w:cs="Inter" w:eastAsia="Inter" w:hAnsi="Inter"/>
          <w:color w:val="0F172A"/>
          <w:sz w:val="20"/>
          <w:szCs w:val="20"/>
        </w:rPr>
        <w:t xml:space="preserve">Q1 2026 Board Meeting — February 12, 2026</w:t>
      </w:r>
    </w:p>
    <w:p>
      <w:pPr>
        <w:pStyle w:val="ListParagraph"/>
        <w:numPr>
          <w:ilvl w:val="0"/>
          <w:numId w:val="2"/>
        </w:numPr>
        <w:spacing w:after="60"/>
      </w:pPr>
      <w:r>
        <w:rPr>
          <w:rFonts w:ascii="Inter" w:cs="Inter" w:eastAsia="Inter" w:hAnsi="Inter"/>
          <w:color w:val="0F172A"/>
          <w:sz w:val="20"/>
          <w:szCs w:val="20"/>
        </w:rPr>
        <w:t xml:space="preserve">Audit Committee Meeting — February 28, 2026 (Excerpt)</w:t>
      </w:r>
    </w:p>
    <w:p>
      <w:pPr>
        <w:pStyle w:val="ListParagraph"/>
        <w:numPr>
          <w:ilvl w:val="0"/>
          <w:numId w:val="2"/>
        </w:numPr>
        <w:spacing w:after="60"/>
      </w:pPr>
      <w:r>
        <w:rPr>
          <w:rFonts w:ascii="Inter" w:cs="Inter" w:eastAsia="Inter" w:hAnsi="Inter"/>
          <w:color w:val="0F172A"/>
          <w:sz w:val="20"/>
          <w:szCs w:val="20"/>
        </w:rPr>
        <w:t xml:space="preserve">Compensation Committee Meeting — March 17, 2026 (Excerpt)</w:t>
      </w:r>
    </w:p>
    <w:p>
      <w:r>
        <w:br w:type="page"/>
      </w:r>
    </w:p>
    <w:p>
      <w:pPr>
        <w:pStyle w:val="Heading1"/>
        <w:spacing w:after="180" w:before="360"/>
      </w:pPr>
      <w:r>
        <w:rPr>
          <w:rFonts w:ascii="Inter" w:cs="Inter" w:eastAsia="Inter" w:hAnsi="Inter"/>
          <w:b/>
          <w:bCs/>
          <w:color w:val="1E2761"/>
          <w:sz w:val="30"/>
          <w:szCs w:val="30"/>
        </w:rPr>
        <w:t xml:space="preserve">Q4 2025 Regular Meeting of the Board of Directors</w:t>
      </w:r>
    </w:p>
    <w:p>
      <w:pPr>
        <w:spacing w:after="120" w:line="300"/>
      </w:pPr>
      <w:r>
        <w:rPr>
          <w:rFonts w:ascii="Inter" w:cs="Inter" w:eastAsia="Inter" w:hAnsi="Inter"/>
          <w:i/>
          <w:iCs/>
          <w:color w:val="0F172A"/>
          <w:sz w:val="20"/>
          <w:szCs w:val="20"/>
        </w:rPr>
        <w:t xml:space="preserve">Arcus, Inc. — November 14, 2025 · 1:00 pm Pacific · Held via Zoom and at the Company's headquarters, 45 West 27th Street, New York, NY</w:t>
      </w:r>
    </w:p>
    <w:p>
      <w:pPr>
        <w:pStyle w:val="Heading2"/>
        <w:spacing w:after="120" w:before="240"/>
      </w:pPr>
      <w:r>
        <w:rPr>
          <w:rFonts w:ascii="Inter" w:cs="Inter" w:eastAsia="Inter" w:hAnsi="Inter"/>
          <w:b/>
          <w:bCs/>
          <w:color w:val="1E2761"/>
          <w:sz w:val="24"/>
          <w:szCs w:val="24"/>
        </w:rPr>
        <w:t xml:space="preserve">Attendance</w:t>
      </w:r>
    </w:p>
    <w:p>
      <w:pPr>
        <w:spacing w:after="120" w:line="300"/>
      </w:pPr>
      <w:r>
        <w:rPr>
          <w:rFonts w:ascii="Inter" w:cs="Inter" w:eastAsia="Inter" w:hAnsi="Inter"/>
          <w:color w:val="0F172A"/>
          <w:sz w:val="20"/>
          <w:szCs w:val="20"/>
        </w:rPr>
        <w:t xml:space="preserve">A regular meeting of the Board of Directors of Arcus, Inc. (the "Company") was called to order at 1:04 pm Pacific Time by Sarah Chen, Chief Executive Officer and Chair.</w:t>
      </w:r>
    </w:p>
    <w:p>
      <w:pPr>
        <w:spacing w:after="120" w:line="300"/>
      </w:pPr>
      <w:r>
        <w:rPr>
          <w:rFonts w:ascii="Inter" w:cs="Inter" w:eastAsia="Inter" w:hAnsi="Inter"/>
          <w:color w:val="0F172A"/>
          <w:sz w:val="20"/>
          <w:szCs w:val="20"/>
        </w:rPr>
        <w:t xml:space="preserve">Directors present: Sarah Chen (Chair), David Patel, Ben Ramirez (Accel), Amanda Chou (Insight Partners), Janet Kim (Independent), Ravi Menon (Independent), and Thomas Wright (Common Observer — non-voting).</w:t>
      </w:r>
    </w:p>
    <w:p>
      <w:pPr>
        <w:spacing w:after="120" w:line="300"/>
      </w:pPr>
      <w:r>
        <w:rPr>
          <w:rFonts w:ascii="Inter" w:cs="Inter" w:eastAsia="Inter" w:hAnsi="Inter"/>
          <w:color w:val="0F172A"/>
          <w:sz w:val="20"/>
          <w:szCs w:val="20"/>
        </w:rPr>
        <w:t xml:space="preserve">Also in attendance: Elena Vasquez (Chief Financial Officer), Priya Shankar (Chief Product Officer), Kenji Tanaka (VP Customer Success), Maria Alvarez (General Counsel — recording Secretary for this meeting), and James Robinson (VP Engineering, invited for Item 4).</w:t>
      </w:r>
    </w:p>
    <w:p>
      <w:pPr>
        <w:spacing w:after="120" w:line="300"/>
      </w:pPr>
      <w:r>
        <w:rPr>
          <w:rFonts w:ascii="Inter" w:cs="Inter" w:eastAsia="Inter" w:hAnsi="Inter"/>
          <w:color w:val="0F172A"/>
          <w:sz w:val="20"/>
          <w:szCs w:val="20"/>
        </w:rPr>
        <w:t xml:space="preserve">A quorum being present, the Chair declared the meeting duly convened.</w:t>
      </w:r>
    </w:p>
    <w:p>
      <w:pPr>
        <w:pStyle w:val="Heading2"/>
        <w:spacing w:after="120" w:before="240"/>
      </w:pPr>
      <w:r>
        <w:rPr>
          <w:rFonts w:ascii="Inter" w:cs="Inter" w:eastAsia="Inter" w:hAnsi="Inter"/>
          <w:b/>
          <w:bCs/>
          <w:color w:val="1E2761"/>
          <w:sz w:val="24"/>
          <w:szCs w:val="24"/>
        </w:rPr>
        <w:t xml:space="preserve">Item 1 — Approval of Prior Minutes</w:t>
      </w:r>
    </w:p>
    <w:p>
      <w:pPr>
        <w:spacing w:after="120" w:line="300"/>
      </w:pPr>
      <w:r>
        <w:rPr>
          <w:rFonts w:ascii="Inter" w:cs="Inter" w:eastAsia="Inter" w:hAnsi="Inter"/>
          <w:color w:val="0F172A"/>
          <w:sz w:val="20"/>
          <w:szCs w:val="20"/>
        </w:rPr>
        <w:t xml:space="preserve">The Chair presented the minutes of the August 15, 2025 regular meeting of the Board. Upon motion duly made and seconded, the minutes were unanimously approved as presented.</w:t>
      </w:r>
    </w:p>
    <w:p>
      <w:pPr>
        <w:pStyle w:val="Heading2"/>
        <w:spacing w:after="120" w:before="240"/>
      </w:pPr>
      <w:r>
        <w:rPr>
          <w:rFonts w:ascii="Inter" w:cs="Inter" w:eastAsia="Inter" w:hAnsi="Inter"/>
          <w:b/>
          <w:bCs/>
          <w:color w:val="1E2761"/>
          <w:sz w:val="24"/>
          <w:szCs w:val="24"/>
        </w:rPr>
        <w:t xml:space="preserve">Item 2 — CEO Report</w:t>
      </w:r>
    </w:p>
    <w:p>
      <w:pPr>
        <w:spacing w:after="120" w:line="300"/>
      </w:pPr>
      <w:r>
        <w:rPr>
          <w:rFonts w:ascii="Inter" w:cs="Inter" w:eastAsia="Inter" w:hAnsi="Inter"/>
          <w:color w:val="0F172A"/>
          <w:sz w:val="20"/>
          <w:szCs w:val="20"/>
        </w:rPr>
        <w:t xml:space="preserve">The Chair provided an operating update covering the third quarter of 2025. The Company reported ARR of $14.8M as of September 30, 2025, representing approximately 71% year-over-year growth, and $14.8M of cash on the balance sheet prior to any additional fundraising. The Chair noted that Q3 was the strongest bookings quarter in Company history with $3.1M of new and expansion ARR, led by the Harbor Freight expansion ($420K) and two new logos in the automotive vertical.</w:t>
      </w:r>
    </w:p>
    <w:p>
      <w:pPr>
        <w:spacing w:after="120" w:line="300"/>
      </w:pPr>
      <w:r>
        <w:rPr>
          <w:rFonts w:ascii="Inter" w:cs="Inter" w:eastAsia="Inter" w:hAnsi="Inter"/>
          <w:color w:val="0F172A"/>
          <w:sz w:val="20"/>
          <w:szCs w:val="20"/>
        </w:rPr>
        <w:t xml:space="preserve">The Chair also reported on product momentum, noting that Arcus Autopilot had been deployed into production at 19 customers since its June 2025 GA and was driving an average of 14 autonomous actions per week per customer. Customer feedback, as summarized by the VP Customer Success, was uniformly positive with the exception of one customer (redacted) who had identified gaps in the policy guardrail framework; the product team was actively addressing those gaps.</w:t>
      </w:r>
    </w:p>
    <w:p>
      <w:pPr>
        <w:spacing w:after="120" w:line="300"/>
      </w:pPr>
      <w:r>
        <w:rPr>
          <w:rFonts w:ascii="Inter" w:cs="Inter" w:eastAsia="Inter" w:hAnsi="Inter"/>
          <w:color w:val="0F172A"/>
          <w:sz w:val="20"/>
          <w:szCs w:val="20"/>
        </w:rPr>
        <w:t xml:space="preserve">Following discussion, the Board acknowledged the report.</w:t>
      </w:r>
    </w:p>
    <w:p>
      <w:pPr>
        <w:pStyle w:val="Heading2"/>
        <w:spacing w:after="120" w:before="240"/>
      </w:pPr>
      <w:r>
        <w:rPr>
          <w:rFonts w:ascii="Inter" w:cs="Inter" w:eastAsia="Inter" w:hAnsi="Inter"/>
          <w:b/>
          <w:bCs/>
          <w:color w:val="1E2761"/>
          <w:sz w:val="24"/>
          <w:szCs w:val="24"/>
        </w:rPr>
        <w:t xml:space="preserve">Item 3 — Financial Review</w:t>
      </w:r>
    </w:p>
    <w:p>
      <w:pPr>
        <w:spacing w:after="120" w:line="300"/>
      </w:pPr>
      <w:r>
        <w:rPr>
          <w:rFonts w:ascii="Inter" w:cs="Inter" w:eastAsia="Inter" w:hAnsi="Inter"/>
          <w:color w:val="0F172A"/>
          <w:sz w:val="20"/>
          <w:szCs w:val="20"/>
        </w:rPr>
        <w:t xml:space="preserve">The CFO presented the financial report for the three months ended September 30, 2025, including the unaudited income statement, balance sheet, and cash flow statement. Key items noted: gross margin of 74% (down from 77% in the prior year period, driven by Autopilot inference costs and single-tenant hosting growth); operating loss of $4.6M; and net cash burn of $4.3M.</w:t>
      </w:r>
    </w:p>
    <w:p>
      <w:pPr>
        <w:spacing w:after="120" w:line="300"/>
      </w:pPr>
      <w:r>
        <w:rPr>
          <w:rFonts w:ascii="Inter" w:cs="Inter" w:eastAsia="Inter" w:hAnsi="Inter"/>
          <w:color w:val="0F172A"/>
          <w:sz w:val="20"/>
          <w:szCs w:val="20"/>
        </w:rPr>
        <w:t xml:space="preserve">The CFO presented a revised FY2025 forecast showing projected year-end ARR of $15.4M (in line with plan) and projected year-end cash of approximately $34.7M. The CFO further reported that runway at the current burn rate without additional financing was approximately 16 months, which was consistent with the expectations established at the August meeting.</w:t>
      </w:r>
    </w:p>
    <w:p>
      <w:pPr>
        <w:spacing w:after="120" w:line="300"/>
      </w:pPr>
      <w:r>
        <w:rPr>
          <w:rFonts w:ascii="Inter" w:cs="Inter" w:eastAsia="Inter" w:hAnsi="Inter"/>
          <w:color w:val="0F172A"/>
          <w:sz w:val="20"/>
          <w:szCs w:val="20"/>
        </w:rPr>
        <w:t xml:space="preserve">The Board discussed the gross margin decline at length. Ms. Chou inquired whether the Company had mapped a clear path to returning to 78%+ gross margins. The CFO and Chair responded with a summary of three initiatives underway (inference optimization, warehouse right-sizing, and multi-tenant consolidation) and committed to presenting a detailed gross margin recovery plan at the Q1 2026 board meeting.</w:t>
      </w:r>
    </w:p>
    <w:p>
      <w:pPr>
        <w:pStyle w:val="Heading2"/>
        <w:spacing w:after="120" w:before="240"/>
      </w:pPr>
      <w:r>
        <w:rPr>
          <w:rFonts w:ascii="Inter" w:cs="Inter" w:eastAsia="Inter" w:hAnsi="Inter"/>
          <w:b/>
          <w:bCs/>
          <w:color w:val="1E2761"/>
          <w:sz w:val="24"/>
          <w:szCs w:val="24"/>
        </w:rPr>
        <w:t xml:space="preserve">Item 4 — CTO Departure and Engineering Transition</w:t>
      </w:r>
    </w:p>
    <w:p>
      <w:pPr>
        <w:spacing w:after="120" w:line="300"/>
      </w:pPr>
      <w:r>
        <w:rPr>
          <w:rFonts w:ascii="Inter" w:cs="Inter" w:eastAsia="Inter" w:hAnsi="Inter"/>
          <w:color w:val="0F172A"/>
          <w:sz w:val="20"/>
          <w:szCs w:val="20"/>
        </w:rPr>
        <w:t xml:space="preserve">The Chair reported that on October 31, 2025, Marcus Weiss, the Company's Co-founder and Chief Technology Officer, had delivered his notice of resignation effective November 30, 2025, to accept a senior position at another technology company. The Chair noted that Mr. Weiss had been candid about his reasoning, that the separation was amicable, and that Mr. Weiss had committed to a full transition period and to making himself available to the Company as needed through December.</w:t>
      </w:r>
    </w:p>
    <w:p>
      <w:pPr>
        <w:spacing w:after="120" w:line="300"/>
      </w:pPr>
      <w:r>
        <w:rPr>
          <w:rFonts w:ascii="Inter" w:cs="Inter" w:eastAsia="Inter" w:hAnsi="Inter"/>
          <w:color w:val="0F172A"/>
          <w:sz w:val="20"/>
          <w:szCs w:val="20"/>
        </w:rPr>
        <w:t xml:space="preserve">The Chair proposed appointing James Robinson, then serving as Principal Engineer and technical lead of the Visibility platform team, to serve as Interim Chief Technology Officer effective December 1, 2025, while the Company conducted a search for a permanent Chief Technology Officer. Mr. Robinson, who was invited to join this portion of the meeting, addressed the Board and answered questions regarding his plans for the engineering organization, technical priorities for the following six months, and succession planning.</w:t>
      </w:r>
    </w:p>
    <w:p>
      <w:pPr>
        <w:spacing w:after="120" w:line="300"/>
      </w:pPr>
      <w:r>
        <w:rPr>
          <w:rFonts w:ascii="Inter" w:cs="Inter" w:eastAsia="Inter" w:hAnsi="Inter"/>
          <w:color w:val="0F172A"/>
          <w:sz w:val="20"/>
          <w:szCs w:val="20"/>
        </w:rPr>
        <w:t xml:space="preserve">Following Mr. Robinson's departure from the meeting, the Board discussed the proposed interim appointment, the scope of the Chief Technology Officer search (including search firm engagement), and the retention considerations for the engineering team in light of the departure. The Board expressed confidence in Mr. Robinson and unanimously resolved as follows: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James Robinson is hereby appointed as Interim Chief Technology Officer of the Company, effective December 1, 2025, to serve until a permanent Chief Technology Officer is appointed;</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Company is hereby authorized to engage Heidrick &amp; Struggles as executive search firm for the permanent Chief Technology Officer search, on the terms described by the Chair;</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Compensation Committee is directed to recommend an appropriate compensation adjustment for Mr. Robinson, to be ratified at the next meeting of the Board.</w:t>
      </w:r>
    </w:p>
    <w:p>
      <w:pPr>
        <w:pStyle w:val="Heading2"/>
        <w:spacing w:after="120" w:before="240"/>
      </w:pPr>
      <w:r>
        <w:rPr>
          <w:rFonts w:ascii="Inter" w:cs="Inter" w:eastAsia="Inter" w:hAnsi="Inter"/>
          <w:b/>
          <w:bCs/>
          <w:color w:val="1E2761"/>
          <w:sz w:val="24"/>
          <w:szCs w:val="24"/>
        </w:rPr>
        <w:t xml:space="preserve">Item 5 — 2026 Operating Plan Preview</w:t>
      </w:r>
    </w:p>
    <w:p>
      <w:pPr>
        <w:spacing w:after="120" w:line="300"/>
      </w:pPr>
      <w:r>
        <w:rPr>
          <w:rFonts w:ascii="Inter" w:cs="Inter" w:eastAsia="Inter" w:hAnsi="Inter"/>
          <w:color w:val="0F172A"/>
          <w:sz w:val="20"/>
          <w:szCs w:val="20"/>
        </w:rPr>
        <w:t xml:space="preserve">The CFO presented a preliminary 2026 operating plan for the Board's review. The plan contemplates FY2026 revenue of approximately $22.8M, a headcount plan reaching 212 FTEs by year-end, and a contemplated Series B financing of $40–$50M primary capital in the first half of 2026. The Board engaged in extensive discussion of the growth assumptions, the hiring plan, and the proposed Series B size. The CFO committed to presenting the final approved plan at the February 2026 meeting.</w:t>
      </w:r>
    </w:p>
    <w:p>
      <w:pPr>
        <w:pStyle w:val="Heading2"/>
        <w:spacing w:after="120" w:before="240"/>
      </w:pPr>
      <w:r>
        <w:rPr>
          <w:rFonts w:ascii="Inter" w:cs="Inter" w:eastAsia="Inter" w:hAnsi="Inter"/>
          <w:b/>
          <w:bCs/>
          <w:color w:val="1E2761"/>
          <w:sz w:val="24"/>
          <w:szCs w:val="24"/>
        </w:rPr>
        <w:t xml:space="preserve">Item 6 — Executive Session</w:t>
      </w:r>
    </w:p>
    <w:p>
      <w:pPr>
        <w:spacing w:after="120" w:line="300"/>
      </w:pPr>
      <w:r>
        <w:rPr>
          <w:rFonts w:ascii="Inter" w:cs="Inter" w:eastAsia="Inter" w:hAnsi="Inter"/>
          <w:color w:val="0F172A"/>
          <w:sz w:val="20"/>
          <w:szCs w:val="20"/>
        </w:rPr>
        <w:t xml:space="preserve">At 3:18 pm Pacific, the Chair called an executive session of the Board and excused management. The executive session concluded at 3:51 pm. No actions were taken in executive session that required recording in these minutes.</w:t>
      </w:r>
    </w:p>
    <w:p>
      <w:pPr>
        <w:pStyle w:val="Heading2"/>
        <w:spacing w:after="120" w:before="240"/>
      </w:pPr>
      <w:r>
        <w:rPr>
          <w:rFonts w:ascii="Inter" w:cs="Inter" w:eastAsia="Inter" w:hAnsi="Inter"/>
          <w:b/>
          <w:bCs/>
          <w:color w:val="1E2761"/>
          <w:sz w:val="24"/>
          <w:szCs w:val="24"/>
        </w:rPr>
        <w:t xml:space="preserve">Adjournment</w:t>
      </w:r>
    </w:p>
    <w:p>
      <w:pPr>
        <w:spacing w:after="120" w:line="300"/>
      </w:pPr>
      <w:r>
        <w:rPr>
          <w:rFonts w:ascii="Inter" w:cs="Inter" w:eastAsia="Inter" w:hAnsi="Inter"/>
          <w:color w:val="0F172A"/>
          <w:sz w:val="20"/>
          <w:szCs w:val="20"/>
        </w:rPr>
        <w:t xml:space="preserve">There being no further business, upon motion duly made and seconded, the meeting was adjourned at 3:52 pm Pacific.</w:t>
      </w:r>
    </w:p>
    <w:p>
      <w:pPr>
        <w:spacing w:after="120"/>
      </w:pPr>
      <w:r>
        <w:t xml:space="preserve"/>
      </w:r>
    </w:p>
    <w:p>
      <w:pPr>
        <w:spacing w:after="120" w:line="300"/>
      </w:pPr>
      <w:r>
        <w:rPr>
          <w:rFonts w:ascii="Inter" w:cs="Inter" w:eastAsia="Inter" w:hAnsi="Inter"/>
          <w:color w:val="0F172A"/>
          <w:sz w:val="20"/>
          <w:szCs w:val="20"/>
        </w:rPr>
        <w:t xml:space="preserve">Respectfully submitted,</w:t>
      </w:r>
    </w:p>
    <w:p>
      <w:pPr>
        <w:spacing w:after="120"/>
      </w:pPr>
      <w:r>
        <w:t xml:space="preserve"/>
      </w:r>
    </w:p>
    <w:p>
      <w:pPr>
        <w:spacing w:after="120" w:line="300"/>
      </w:pPr>
      <w:r>
        <w:rPr>
          <w:rFonts w:ascii="Inter" w:cs="Inter" w:eastAsia="Inter" w:hAnsi="Inter"/>
          <w:color w:val="0F172A"/>
          <w:sz w:val="20"/>
          <w:szCs w:val="20"/>
        </w:rPr>
        <w:t xml:space="preserve">Maria Alvarez</w:t>
      </w:r>
    </w:p>
    <w:p>
      <w:pPr>
        <w:spacing w:after="120" w:line="300"/>
      </w:pPr>
      <w:r>
        <w:rPr>
          <w:rFonts w:ascii="Inter" w:cs="Inter" w:eastAsia="Inter" w:hAnsi="Inter"/>
          <w:color w:val="0F172A"/>
          <w:sz w:val="20"/>
          <w:szCs w:val="20"/>
        </w:rPr>
        <w:t xml:space="preserve">General Counsel, acting as Secretary</w:t>
      </w:r>
    </w:p>
    <w:p>
      <w:r>
        <w:br w:type="page"/>
      </w:r>
    </w:p>
    <w:p>
      <w:pPr>
        <w:pStyle w:val="Heading1"/>
        <w:spacing w:after="180" w:before="360"/>
      </w:pPr>
      <w:r>
        <w:rPr>
          <w:rFonts w:ascii="Inter" w:cs="Inter" w:eastAsia="Inter" w:hAnsi="Inter"/>
          <w:b/>
          <w:bCs/>
          <w:color w:val="1E2761"/>
          <w:sz w:val="30"/>
          <w:szCs w:val="30"/>
        </w:rPr>
        <w:t xml:space="preserve">Action by Written Consent of the Board of Directors</w:t>
      </w:r>
    </w:p>
    <w:p>
      <w:pPr>
        <w:pStyle w:val="Heading2"/>
        <w:spacing w:after="120" w:before="240"/>
      </w:pPr>
      <w:r>
        <w:rPr>
          <w:rFonts w:ascii="Inter" w:cs="Inter" w:eastAsia="Inter" w:hAnsi="Inter"/>
          <w:b/>
          <w:bCs/>
          <w:color w:val="1E2761"/>
          <w:sz w:val="24"/>
          <w:szCs w:val="24"/>
        </w:rPr>
        <w:t xml:space="preserve">in lieu of a meeting</w:t>
      </w:r>
    </w:p>
    <w:p>
      <w:pPr>
        <w:spacing w:after="120" w:line="300"/>
      </w:pPr>
      <w:r>
        <w:rPr>
          <w:rFonts w:ascii="Inter" w:cs="Inter" w:eastAsia="Inter" w:hAnsi="Inter"/>
          <w:i/>
          <w:iCs/>
          <w:color w:val="0F172A"/>
          <w:sz w:val="20"/>
          <w:szCs w:val="20"/>
        </w:rPr>
        <w:t xml:space="preserve">Executed November 18, 2025</w:t>
      </w:r>
    </w:p>
    <w:p>
      <w:pPr>
        <w:spacing w:after="120" w:line="300"/>
      </w:pPr>
      <w:r>
        <w:rPr>
          <w:rFonts w:ascii="Inter" w:cs="Inter" w:eastAsia="Inter" w:hAnsi="Inter"/>
          <w:color w:val="0F172A"/>
          <w:sz w:val="20"/>
          <w:szCs w:val="20"/>
        </w:rPr>
        <w:t xml:space="preserve">The undersigned, being all of the directors of Arcus, Inc., a Delaware corporation (the "Company"), pursuant to Section 141(f) of the Delaware General Corporation Law and the Bylaws of the Company, hereby consent to and adopt the following resolutions as if taken at a duly called and held meeting of the Board of Directors:</w:t>
      </w:r>
    </w:p>
    <w:p>
      <w:pPr>
        <w:pStyle w:val="Heading3"/>
        <w:spacing w:after="80" w:before="200"/>
      </w:pPr>
      <w:r>
        <w:rPr>
          <w:rFonts w:ascii="Inter" w:cs="Inter" w:eastAsia="Inter" w:hAnsi="Inter"/>
          <w:b/>
          <w:bCs/>
          <w:color w:val="D97706"/>
          <w:sz w:val="20"/>
          <w:szCs w:val="20"/>
        </w:rPr>
        <w:t xml:space="preserve">Ratification of CTO Transition Arrangements</w:t>
      </w:r>
    </w:p>
    <w:p>
      <w:pPr>
        <w:spacing w:after="120" w:line="300"/>
      </w:pPr>
      <w:r>
        <w:rPr>
          <w:rFonts w:ascii="Inter" w:cs="Inter" w:eastAsia="Inter" w:hAnsi="Inter"/>
          <w:color w:val="0F172A"/>
          <w:sz w:val="20"/>
          <w:szCs w:val="20"/>
        </w:rPr>
        <w:t xml:space="preserve">WHEREAS, Marcus Weiss tendered his resignation as Chief Technology Officer and as an officer of the Company effective November 30, 2025;</w:t>
      </w:r>
    </w:p>
    <w:p>
      <w:pPr>
        <w:spacing w:after="120" w:line="300"/>
      </w:pPr>
      <w:r>
        <w:rPr>
          <w:rFonts w:ascii="Inter" w:cs="Inter" w:eastAsia="Inter" w:hAnsi="Inter"/>
          <w:color w:val="0F172A"/>
          <w:sz w:val="20"/>
          <w:szCs w:val="20"/>
        </w:rPr>
        <w:t xml:space="preserve">WHEREAS, the Company and Mr. Weiss have negotiated a separation and transition agreement (the "Transition Agreement") that provides for certain transition services, reaffirms Mr. Weiss's continuing obligations under his employee confidentiality and invention assignment agreement, reaffirms his two-year non-compete and non-solicit obligations under his Founder Restricted Stock Purchase Agreement dated February 11, 2021, and provides for the accelerated vesting of 12,500 shares of Common Stock in recognition of his service;</w:t>
      </w:r>
    </w:p>
    <w:p>
      <w:pPr>
        <w:spacing w:after="120" w:line="300"/>
      </w:pPr>
      <w:r>
        <w:rPr>
          <w:rFonts w:ascii="Inter" w:cs="Inter" w:eastAsia="Inter" w:hAnsi="Inter"/>
          <w:color w:val="0F172A"/>
          <w:sz w:val="20"/>
          <w:szCs w:val="20"/>
        </w:rPr>
        <w:t xml:space="preserve">WHEREAS, the Board has reviewed the Transition Agreement and discussed its terms;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Transition Agreement substantially in the form reviewed by the Board is hereby approved and the Chief Executive Officer and General Counsel are each authorized to execute and deliver the same on behalf of the Company;</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Company hereby thanks Mr. Weiss for his contributions as a co-founder and as Chief Technology Officer and wishes him well in his future endeavors;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officers of the Company are authorized to take such further actions and execute such further documents as they deem necessary to implement the foregoing resolutions.</w:t>
      </w:r>
    </w:p>
    <w:p>
      <w:pPr>
        <w:spacing w:after="120"/>
      </w:pPr>
      <w:r>
        <w:t xml:space="preserve"/>
      </w:r>
    </w:p>
    <w:p>
      <w:pPr>
        <w:spacing w:after="120" w:line="300"/>
      </w:pPr>
      <w:r>
        <w:rPr>
          <w:rFonts w:ascii="Inter" w:cs="Inter" w:eastAsia="Inter" w:hAnsi="Inter"/>
          <w:color w:val="0F172A"/>
          <w:sz w:val="20"/>
          <w:szCs w:val="20"/>
        </w:rPr>
        <w:t xml:space="preserve">Executed as of the dates set forth below.</w:t>
      </w:r>
    </w:p>
    <w:p>
      <w:pPr>
        <w:spacing w:after="120"/>
      </w:pPr>
      <w:r>
        <w:t xml:space="preserve"/>
      </w:r>
    </w:p>
    <w:p>
      <w:pPr>
        <w:spacing w:after="120" w:line="300"/>
      </w:pPr>
      <w:r>
        <w:rPr>
          <w:rFonts w:ascii="Inter" w:cs="Inter" w:eastAsia="Inter" w:hAnsi="Inter"/>
          <w:color w:val="0F172A"/>
          <w:sz w:val="20"/>
          <w:szCs w:val="20"/>
        </w:rPr>
        <w:t xml:space="preserve">Sarah Chen (Chair) — November 18, 2025</w:t>
      </w:r>
    </w:p>
    <w:p>
      <w:pPr>
        <w:spacing w:after="120" w:line="300"/>
      </w:pPr>
      <w:r>
        <w:rPr>
          <w:rFonts w:ascii="Inter" w:cs="Inter" w:eastAsia="Inter" w:hAnsi="Inter"/>
          <w:color w:val="0F172A"/>
          <w:sz w:val="20"/>
          <w:szCs w:val="20"/>
        </w:rPr>
        <w:t xml:space="preserve">David Patel — November 18, 2025</w:t>
      </w:r>
    </w:p>
    <w:p>
      <w:pPr>
        <w:spacing w:after="120" w:line="300"/>
      </w:pPr>
      <w:r>
        <w:rPr>
          <w:rFonts w:ascii="Inter" w:cs="Inter" w:eastAsia="Inter" w:hAnsi="Inter"/>
          <w:color w:val="0F172A"/>
          <w:sz w:val="20"/>
          <w:szCs w:val="20"/>
        </w:rPr>
        <w:t xml:space="preserve">Ben Ramirez (Accel) — November 18, 2025</w:t>
      </w:r>
    </w:p>
    <w:p>
      <w:pPr>
        <w:spacing w:after="120" w:line="300"/>
      </w:pPr>
      <w:r>
        <w:rPr>
          <w:rFonts w:ascii="Inter" w:cs="Inter" w:eastAsia="Inter" w:hAnsi="Inter"/>
          <w:color w:val="0F172A"/>
          <w:sz w:val="20"/>
          <w:szCs w:val="20"/>
        </w:rPr>
        <w:t xml:space="preserve">Amanda Chou (Insight Partners) — November 19, 2025</w:t>
      </w:r>
    </w:p>
    <w:p>
      <w:pPr>
        <w:spacing w:after="120" w:line="300"/>
      </w:pPr>
      <w:r>
        <w:rPr>
          <w:rFonts w:ascii="Inter" w:cs="Inter" w:eastAsia="Inter" w:hAnsi="Inter"/>
          <w:color w:val="0F172A"/>
          <w:sz w:val="20"/>
          <w:szCs w:val="20"/>
        </w:rPr>
        <w:t xml:space="preserve">Janet Kim — November 18, 2025</w:t>
      </w:r>
    </w:p>
    <w:p>
      <w:pPr>
        <w:spacing w:after="120" w:line="300"/>
      </w:pPr>
      <w:r>
        <w:rPr>
          <w:rFonts w:ascii="Inter" w:cs="Inter" w:eastAsia="Inter" w:hAnsi="Inter"/>
          <w:color w:val="0F172A"/>
          <w:sz w:val="20"/>
          <w:szCs w:val="20"/>
        </w:rPr>
        <w:t xml:space="preserve">Ravi Menon — November 19, 2025</w:t>
      </w:r>
    </w:p>
    <w:p>
      <w:r>
        <w:br w:type="page"/>
      </w:r>
    </w:p>
    <w:p>
      <w:pPr>
        <w:pStyle w:val="Heading1"/>
        <w:spacing w:after="180" w:before="360"/>
      </w:pPr>
      <w:r>
        <w:rPr>
          <w:rFonts w:ascii="Inter" w:cs="Inter" w:eastAsia="Inter" w:hAnsi="Inter"/>
          <w:b/>
          <w:bCs/>
          <w:color w:val="1E2761"/>
          <w:sz w:val="30"/>
          <w:szCs w:val="30"/>
        </w:rPr>
        <w:t xml:space="preserve">Action by Written Consent of the Board of Directors</w:t>
      </w:r>
    </w:p>
    <w:p>
      <w:pPr>
        <w:pStyle w:val="Heading2"/>
        <w:spacing w:after="120" w:before="240"/>
      </w:pPr>
      <w:r>
        <w:rPr>
          <w:rFonts w:ascii="Inter" w:cs="Inter" w:eastAsia="Inter" w:hAnsi="Inter"/>
          <w:b/>
          <w:bCs/>
          <w:color w:val="1E2761"/>
          <w:sz w:val="24"/>
          <w:szCs w:val="24"/>
        </w:rPr>
        <w:t xml:space="preserve">Series B Process Authorization</w:t>
      </w:r>
    </w:p>
    <w:p>
      <w:pPr>
        <w:spacing w:after="120" w:line="300"/>
      </w:pPr>
      <w:r>
        <w:rPr>
          <w:rFonts w:ascii="Inter" w:cs="Inter" w:eastAsia="Inter" w:hAnsi="Inter"/>
          <w:i/>
          <w:iCs/>
          <w:color w:val="0F172A"/>
          <w:sz w:val="20"/>
          <w:szCs w:val="20"/>
        </w:rPr>
        <w:t xml:space="preserve">Executed January 22, 2026</w:t>
      </w:r>
    </w:p>
    <w:p>
      <w:pPr>
        <w:spacing w:after="120" w:line="300"/>
      </w:pPr>
      <w:r>
        <w:rPr>
          <w:rFonts w:ascii="Inter" w:cs="Inter" w:eastAsia="Inter" w:hAnsi="Inter"/>
          <w:color w:val="0F172A"/>
          <w:sz w:val="20"/>
          <w:szCs w:val="20"/>
        </w:rPr>
        <w:t xml:space="preserve">The undersigned, being all of the directors of Arcus, Inc., hereby consent to the following resolutions in lieu of a duly called meeting of the Board of Directors:</w:t>
      </w:r>
    </w:p>
    <w:p>
      <w:pPr>
        <w:pStyle w:val="Heading3"/>
        <w:spacing w:after="80" w:before="200"/>
      </w:pPr>
      <w:r>
        <w:rPr>
          <w:rFonts w:ascii="Inter" w:cs="Inter" w:eastAsia="Inter" w:hAnsi="Inter"/>
          <w:b/>
          <w:bCs/>
          <w:color w:val="D97706"/>
          <w:sz w:val="20"/>
          <w:szCs w:val="20"/>
        </w:rPr>
        <w:t xml:space="preserve">Authorization of Series B Preferred Stock Financing Process</w:t>
      </w:r>
    </w:p>
    <w:p>
      <w:pPr>
        <w:spacing w:after="120" w:line="300"/>
      </w:pPr>
      <w:r>
        <w:rPr>
          <w:rFonts w:ascii="Inter" w:cs="Inter" w:eastAsia="Inter" w:hAnsi="Inter"/>
          <w:color w:val="0F172A"/>
          <w:sz w:val="20"/>
          <w:szCs w:val="20"/>
        </w:rPr>
        <w:t xml:space="preserve">WHEREAS, the Chief Executive Officer has presented to the Board the desirability of raising primary capital through the issuance of a new series of preferred stock designated as "Series B Preferred Stock";</w:t>
      </w:r>
    </w:p>
    <w:p>
      <w:pPr>
        <w:spacing w:after="120" w:line="300"/>
      </w:pPr>
      <w:r>
        <w:rPr>
          <w:rFonts w:ascii="Inter" w:cs="Inter" w:eastAsia="Inter" w:hAnsi="Inter"/>
          <w:color w:val="0F172A"/>
          <w:sz w:val="20"/>
          <w:szCs w:val="20"/>
        </w:rPr>
        <w:t xml:space="preserve">WHEREAS, management has recommended pursuing a financing of approximately $40M to $50M in primary proceeds at a pre-money valuation to be negotiated but not less than $200M;</w:t>
      </w:r>
    </w:p>
    <w:p>
      <w:pPr>
        <w:spacing w:after="120" w:line="300"/>
      </w:pPr>
      <w:r>
        <w:rPr>
          <w:rFonts w:ascii="Inter" w:cs="Inter" w:eastAsia="Inter" w:hAnsi="Inter"/>
          <w:color w:val="0F172A"/>
          <w:sz w:val="20"/>
          <w:szCs w:val="20"/>
        </w:rPr>
        <w:t xml:space="preserve">WHEREAS, the Board has reviewed and discussed the proposed financing and determined that pursuing such financing is in the best interests of the Company and its stockholders;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Company is hereby authorized to pursue the issuance of Series B Preferred Stock in an amount of up to $50M in primary proceeds at a pre-money valuation to be determined in negotiation with the lead investor(s), subject to the final approval of the definitive terms by the Board of Directors;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Chief Executive Officer, the Chief Financial Officer, and the General Counsel are each authorized and directed, acting singly or jointly, to engage in discussions and negotiations with prospective investors, to engage investment banking or advisory services as they deem appropriate, and to prepare and share confidential information with prospective investors subject to customary non-disclosure arrangements;</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law firm of Wilson Sonsini Goodrich &amp; Rosati, Professional Corporation is hereby engaged as outside counsel for the Series B financing;</w:t>
      </w:r>
    </w:p>
    <w:p>
      <w:pPr>
        <w:spacing w:after="120" w:before="120" w:line="300"/>
        <w:ind w:left="360"/>
      </w:pPr>
      <w:r>
        <w:rPr>
          <w:rFonts w:ascii="Inter" w:cs="Inter" w:eastAsia="Inter" w:hAnsi="Inter"/>
          <w:b/>
          <w:bCs/>
          <w:color w:val="1E2761"/>
          <w:sz w:val="20"/>
          <w:szCs w:val="20"/>
        </w:rPr>
        <w:t xml:space="preserve">RESOLVED, </w:t>
      </w:r>
      <w:r>
        <w:rPr>
          <w:rFonts w:ascii="Inter" w:cs="Inter" w:eastAsia="Inter" w:hAnsi="Inter"/>
          <w:color w:val="0F172A"/>
          <w:sz w:val="20"/>
          <w:szCs w:val="20"/>
        </w:rPr>
        <w:t xml:space="preserve">that the final terms and definitive transaction documents for the Series B financing shall be subject to approval by the Board of Directors prior to execution, which approval may be granted by written consent.</w:t>
      </w:r>
    </w:p>
    <w:p>
      <w:pPr>
        <w:spacing w:after="120"/>
      </w:pPr>
      <w:r>
        <w:t xml:space="preserve"/>
      </w:r>
    </w:p>
    <w:p>
      <w:pPr>
        <w:spacing w:after="120" w:line="300"/>
      </w:pPr>
      <w:r>
        <w:rPr>
          <w:rFonts w:ascii="Inter" w:cs="Inter" w:eastAsia="Inter" w:hAnsi="Inter"/>
          <w:color w:val="0F172A"/>
          <w:sz w:val="20"/>
          <w:szCs w:val="20"/>
        </w:rPr>
        <w:t xml:space="preserve">Signed: Sarah Chen (1/22/26), David Patel (1/22/26), Ben Ramirez (1/22/26), Amanda Chou (1/23/26), Janet Kim (1/22/26), Ravi Menon (1/22/26)</w:t>
      </w:r>
    </w:p>
    <w:p>
      <w:r>
        <w:br w:type="page"/>
      </w:r>
    </w:p>
    <w:p>
      <w:pPr>
        <w:pStyle w:val="Heading1"/>
        <w:spacing w:after="180" w:before="360"/>
      </w:pPr>
      <w:r>
        <w:rPr>
          <w:rFonts w:ascii="Inter" w:cs="Inter" w:eastAsia="Inter" w:hAnsi="Inter"/>
          <w:b/>
          <w:bCs/>
          <w:color w:val="1E2761"/>
          <w:sz w:val="30"/>
          <w:szCs w:val="30"/>
        </w:rPr>
        <w:t xml:space="preserve">Q1 2026 Regular Meeting of the Board of Directors</w:t>
      </w:r>
    </w:p>
    <w:p>
      <w:pPr>
        <w:spacing w:after="120" w:line="300"/>
      </w:pPr>
      <w:r>
        <w:rPr>
          <w:rFonts w:ascii="Inter" w:cs="Inter" w:eastAsia="Inter" w:hAnsi="Inter"/>
          <w:i/>
          <w:iCs/>
          <w:color w:val="0F172A"/>
          <w:sz w:val="20"/>
          <w:szCs w:val="20"/>
        </w:rPr>
        <w:t xml:space="preserve">Arcus, Inc. — February 12, 2026 · 1:00 pm Pacific</w:t>
      </w:r>
    </w:p>
    <w:p>
      <w:pPr>
        <w:pStyle w:val="Heading2"/>
        <w:spacing w:after="120" w:before="240"/>
      </w:pPr>
      <w:r>
        <w:rPr>
          <w:rFonts w:ascii="Inter" w:cs="Inter" w:eastAsia="Inter" w:hAnsi="Inter"/>
          <w:b/>
          <w:bCs/>
          <w:color w:val="1E2761"/>
          <w:sz w:val="24"/>
          <w:szCs w:val="24"/>
        </w:rPr>
        <w:t xml:space="preserve">Attendance</w:t>
      </w:r>
    </w:p>
    <w:p>
      <w:pPr>
        <w:spacing w:after="120" w:line="300"/>
      </w:pPr>
      <w:r>
        <w:rPr>
          <w:rFonts w:ascii="Inter" w:cs="Inter" w:eastAsia="Inter" w:hAnsi="Inter"/>
          <w:color w:val="0F172A"/>
          <w:sz w:val="20"/>
          <w:szCs w:val="20"/>
        </w:rPr>
        <w:t xml:space="preserve">All directors present: Sarah Chen, David Patel, Ben Ramirez, Amanda Chou, Janet Kim, Ravi Menon, and Thomas Wright (observer). Also in attendance: Elena Vasquez (CFO), James Robinson (Interim CTO), Priya Shankar (CPO), Kenji Tanaka (VP CS), and Maria Alvarez (General Counsel, Secretary).</w:t>
      </w:r>
    </w:p>
    <w:p>
      <w:pPr>
        <w:pStyle w:val="Heading2"/>
        <w:spacing w:after="120" w:before="240"/>
      </w:pPr>
      <w:r>
        <w:rPr>
          <w:rFonts w:ascii="Inter" w:cs="Inter" w:eastAsia="Inter" w:hAnsi="Inter"/>
          <w:b/>
          <w:bCs/>
          <w:color w:val="1E2761"/>
          <w:sz w:val="24"/>
          <w:szCs w:val="24"/>
        </w:rPr>
        <w:t xml:space="preserve">Item 1 — Approval of Prior Actions</w:t>
      </w:r>
    </w:p>
    <w:p>
      <w:pPr>
        <w:spacing w:after="120" w:line="300"/>
      </w:pPr>
      <w:r>
        <w:rPr>
          <w:rFonts w:ascii="Inter" w:cs="Inter" w:eastAsia="Inter" w:hAnsi="Inter"/>
          <w:color w:val="0F172A"/>
          <w:sz w:val="20"/>
          <w:szCs w:val="20"/>
        </w:rPr>
        <w:t xml:space="preserve">The minutes of the November 14, 2025 regular meeting were presented and, upon motion duly made and seconded, unanimously approved. The written consents of November 18, 2025 and January 22, 2026 were presented and acknowledged as validly adopted.</w:t>
      </w:r>
    </w:p>
    <w:p>
      <w:pPr>
        <w:pStyle w:val="Heading2"/>
        <w:spacing w:after="120" w:before="240"/>
      </w:pPr>
      <w:r>
        <w:rPr>
          <w:rFonts w:ascii="Inter" w:cs="Inter" w:eastAsia="Inter" w:hAnsi="Inter"/>
          <w:b/>
          <w:bCs/>
          <w:color w:val="1E2761"/>
          <w:sz w:val="24"/>
          <w:szCs w:val="24"/>
        </w:rPr>
        <w:t xml:space="preserve">Item 2 — CEO Operating Report</w:t>
      </w:r>
    </w:p>
    <w:p>
      <w:pPr>
        <w:spacing w:after="120" w:line="300"/>
      </w:pPr>
      <w:r>
        <w:rPr>
          <w:rFonts w:ascii="Inter" w:cs="Inter" w:eastAsia="Inter" w:hAnsi="Inter"/>
          <w:color w:val="0F172A"/>
          <w:sz w:val="20"/>
          <w:szCs w:val="20"/>
        </w:rPr>
        <w:t xml:space="preserve">The Chair reported that the Company closed FY2025 with ARR of $15.4M, finishing the year in line with plan. Q4 2025 bookings were strong at $3.3M of net new ARR. The Chair reported that seven new enterprise customers had signed in Q4, including two Enterprise+ deployments. The Chair then turned to operating metrics and reported that the Magic Number had declined from 0.84 in Q3 2025 to 0.79 in Q4 2025, reflecting the onboarding of six new enterprise AEs who were not yet productive. Ms. Chou asked how the CRO was tracking ramp progress; Mr. Patel (as CRO) responded with a detailed summary by cohort.</w:t>
      </w:r>
    </w:p>
    <w:p>
      <w:pPr>
        <w:pStyle w:val="Heading2"/>
        <w:spacing w:after="120" w:before="240"/>
      </w:pPr>
      <w:r>
        <w:rPr>
          <w:rFonts w:ascii="Inter" w:cs="Inter" w:eastAsia="Inter" w:hAnsi="Inter"/>
          <w:b/>
          <w:bCs/>
          <w:color w:val="1E2761"/>
          <w:sz w:val="24"/>
          <w:szCs w:val="24"/>
        </w:rPr>
        <w:t xml:space="preserve">Item 3 — Audit Committee Report (Janet Kim, Chair)</w:t>
      </w:r>
    </w:p>
    <w:p>
      <w:pPr>
        <w:spacing w:after="120" w:line="300"/>
      </w:pPr>
      <w:r>
        <w:rPr>
          <w:rFonts w:ascii="Inter" w:cs="Inter" w:eastAsia="Inter" w:hAnsi="Inter"/>
          <w:color w:val="0F172A"/>
          <w:sz w:val="20"/>
          <w:szCs w:val="20"/>
        </w:rPr>
        <w:t xml:space="preserve">Ms. Kim reported on the Audit Committee's meeting of February 4, 2026. The Committee had met with PwC, the Company's independent auditors, and received a summary of the audit plan for FY2025. PwC did not identify any material weaknesses in internal controls. The Committee noted one change in accounting treatment during FY2025: $180K of setup fees previously classified as subscription revenue were reclassified as services revenue following a review of ASC 606 performance obligations. The reclassification had no P&amp;L impact but required a restatement of subscription ARR for the affected contracts. PwC signed off on the reclassification. The Committee recommended that the Board accept the audit report when issued.</w:t>
      </w:r>
    </w:p>
    <w:p>
      <w:pPr>
        <w:pStyle w:val="Heading2"/>
        <w:spacing w:after="120" w:before="240"/>
      </w:pPr>
      <w:r>
        <w:rPr>
          <w:rFonts w:ascii="Inter" w:cs="Inter" w:eastAsia="Inter" w:hAnsi="Inter"/>
          <w:b/>
          <w:bCs/>
          <w:color w:val="1E2761"/>
          <w:sz w:val="24"/>
          <w:szCs w:val="24"/>
        </w:rPr>
        <w:t xml:space="preserve">Item 4 — Compensation Committee Report (Ben Ramirez, Chair)</w:t>
      </w:r>
    </w:p>
    <w:p>
      <w:pPr>
        <w:spacing w:after="120" w:line="300"/>
      </w:pPr>
      <w:r>
        <w:rPr>
          <w:rFonts w:ascii="Inter" w:cs="Inter" w:eastAsia="Inter" w:hAnsi="Inter"/>
          <w:color w:val="0F172A"/>
          <w:sz w:val="20"/>
          <w:szCs w:val="20"/>
        </w:rPr>
        <w:t xml:space="preserve">Mr. Ramirez reported on compensation adjustments recommended for the leadership team following completion of the 2025 performance review cycle. The Committee recommended, and the Board unanimously approved, base salary adjustments for the Chief Executive Officer (from $300K to $325K), the Chief Revenue Officer (no change), the Chief Product Officer (no change, newly hired at market), the Chief Financial Officer (no change, newly hired at market), and the Interim CTO (from $260K to $295K in recognition of expanded responsibilities). Equity refreshes for the broader employee base were approved in aggregate at 180,000 shares of Common Stock subject to grants in the ordinary course per the Compensation Committee's standard guidelines.</w:t>
      </w:r>
    </w:p>
    <w:p>
      <w:pPr>
        <w:pStyle w:val="Heading2"/>
        <w:spacing w:after="120" w:before="240"/>
      </w:pPr>
      <w:r>
        <w:rPr>
          <w:rFonts w:ascii="Inter" w:cs="Inter" w:eastAsia="Inter" w:hAnsi="Inter"/>
          <w:b/>
          <w:bCs/>
          <w:color w:val="1E2761"/>
          <w:sz w:val="24"/>
          <w:szCs w:val="24"/>
        </w:rPr>
        <w:t xml:space="preserve">Item 5 — Series B Financing Update</w:t>
      </w:r>
    </w:p>
    <w:p>
      <w:pPr>
        <w:spacing w:after="120" w:line="300"/>
      </w:pPr>
      <w:r>
        <w:rPr>
          <w:rFonts w:ascii="Inter" w:cs="Inter" w:eastAsia="Inter" w:hAnsi="Inter"/>
          <w:color w:val="0F172A"/>
          <w:sz w:val="20"/>
          <w:szCs w:val="20"/>
        </w:rPr>
        <w:t xml:space="preserve">The CFO presented an update on the Series B process. The Company had engaged in exploratory conversations with six growth-stage investors and had received three term sheets. The CFO presented a comparative summary of each term sheet, redacted for confidentiality. The Board discussed the relative merits of each and expressed preference for the term sheet from 3i Growth Partners based on valuation, partnership quality, and strategic fit. The Board directed the CEO and CFO to proceed with term sheet negotiations with 3i Growth Partners as the preferred lead, while preserving optionality with the other term sheet providers. The final terms would return to the Board for definitive approval prior to execution.</w:t>
      </w:r>
    </w:p>
    <w:p>
      <w:pPr>
        <w:pStyle w:val="Heading2"/>
        <w:spacing w:after="120" w:before="240"/>
      </w:pPr>
      <w:r>
        <w:rPr>
          <w:rFonts w:ascii="Inter" w:cs="Inter" w:eastAsia="Inter" w:hAnsi="Inter"/>
          <w:b/>
          <w:bCs/>
          <w:color w:val="1E2761"/>
          <w:sz w:val="24"/>
          <w:szCs w:val="24"/>
        </w:rPr>
        <w:t xml:space="preserve">Item 6 — Flexport Matter Closure</w:t>
      </w:r>
    </w:p>
    <w:p>
      <w:pPr>
        <w:spacing w:after="120" w:line="300"/>
      </w:pPr>
      <w:r>
        <w:rPr>
          <w:rFonts w:ascii="Inter" w:cs="Inter" w:eastAsia="Inter" w:hAnsi="Inter"/>
          <w:color w:val="0F172A"/>
          <w:sz w:val="20"/>
          <w:szCs w:val="20"/>
        </w:rPr>
        <w:t xml:space="preserve">The General Counsel reported that the patent cease-and-desist matter with Flexport, which had been initially raised in November 2025, had been fully resolved. The parties executed a mutual release and covenant-not-to-sue on February 7, 2026, with no payment in either direction. The General Counsel confirmed that Wilson Sonsini's opinion letter supported the Company's position and that there was no further exposure.</w:t>
      </w:r>
    </w:p>
    <w:p>
      <w:pPr>
        <w:pStyle w:val="Heading2"/>
        <w:spacing w:after="120" w:before="240"/>
      </w:pPr>
      <w:r>
        <w:rPr>
          <w:rFonts w:ascii="Inter" w:cs="Inter" w:eastAsia="Inter" w:hAnsi="Inter"/>
          <w:b/>
          <w:bCs/>
          <w:color w:val="1E2761"/>
          <w:sz w:val="24"/>
          <w:szCs w:val="24"/>
        </w:rPr>
        <w:t xml:space="preserve">Item 7 — Executive Session</w:t>
      </w:r>
    </w:p>
    <w:p>
      <w:pPr>
        <w:spacing w:after="120" w:line="300"/>
      </w:pPr>
      <w:r>
        <w:rPr>
          <w:rFonts w:ascii="Inter" w:cs="Inter" w:eastAsia="Inter" w:hAnsi="Inter"/>
          <w:color w:val="0F172A"/>
          <w:sz w:val="20"/>
          <w:szCs w:val="20"/>
        </w:rPr>
        <w:t xml:space="preserve">The Chair called an executive session at 3:35 pm Pacific. The executive session concluded at 4:08 pm. No actions requiring recording in minutes were taken.</w:t>
      </w:r>
    </w:p>
    <w:p>
      <w:pPr>
        <w:pStyle w:val="Heading2"/>
        <w:spacing w:after="120" w:before="240"/>
      </w:pPr>
      <w:r>
        <w:rPr>
          <w:rFonts w:ascii="Inter" w:cs="Inter" w:eastAsia="Inter" w:hAnsi="Inter"/>
          <w:b/>
          <w:bCs/>
          <w:color w:val="1E2761"/>
          <w:sz w:val="24"/>
          <w:szCs w:val="24"/>
        </w:rPr>
        <w:t xml:space="preserve">Adjournment</w:t>
      </w:r>
    </w:p>
    <w:p>
      <w:pPr>
        <w:spacing w:after="120" w:line="300"/>
      </w:pPr>
      <w:r>
        <w:rPr>
          <w:rFonts w:ascii="Inter" w:cs="Inter" w:eastAsia="Inter" w:hAnsi="Inter"/>
          <w:color w:val="0F172A"/>
          <w:sz w:val="20"/>
          <w:szCs w:val="20"/>
        </w:rPr>
        <w:t xml:space="preserve">There being no further business, the meeting was adjourned at 4:10 pm Pacific.</w:t>
      </w:r>
    </w:p>
    <w:p>
      <w:pPr>
        <w:spacing w:after="120"/>
      </w:pPr>
      <w:r>
        <w:t xml:space="preserve"/>
      </w:r>
    </w:p>
    <w:p>
      <w:pPr>
        <w:spacing w:after="120" w:line="300"/>
      </w:pPr>
      <w:r>
        <w:rPr>
          <w:rFonts w:ascii="Inter" w:cs="Inter" w:eastAsia="Inter" w:hAnsi="Inter"/>
          <w:color w:val="0F172A"/>
          <w:sz w:val="20"/>
          <w:szCs w:val="20"/>
        </w:rPr>
        <w:t xml:space="preserve">Respectfully submitted,</w:t>
      </w:r>
    </w:p>
    <w:p>
      <w:pPr>
        <w:spacing w:after="120" w:line="300"/>
      </w:pPr>
      <w:r>
        <w:rPr>
          <w:rFonts w:ascii="Inter" w:cs="Inter" w:eastAsia="Inter" w:hAnsi="Inter"/>
          <w:color w:val="0F172A"/>
          <w:sz w:val="20"/>
          <w:szCs w:val="20"/>
        </w:rPr>
        <w:t xml:space="preserve">Maria Alvarez, General Counsel and acting Secretary</w:t>
      </w:r>
    </w:p>
    <w:p>
      <w:r>
        <w:br w:type="page"/>
      </w:r>
    </w:p>
    <w:p>
      <w:pPr>
        <w:pStyle w:val="Heading1"/>
        <w:spacing w:after="180" w:before="360"/>
      </w:pPr>
      <w:r>
        <w:rPr>
          <w:rFonts w:ascii="Inter" w:cs="Inter" w:eastAsia="Inter" w:hAnsi="Inter"/>
          <w:b/>
          <w:bCs/>
          <w:color w:val="1E2761"/>
          <w:sz w:val="30"/>
          <w:szCs w:val="30"/>
        </w:rPr>
        <w:t xml:space="preserve">Audit Committee Meeting — Excerpt</w:t>
      </w:r>
    </w:p>
    <w:p>
      <w:pPr>
        <w:spacing w:after="120" w:line="300"/>
      </w:pPr>
      <w:r>
        <w:rPr>
          <w:rFonts w:ascii="Inter" w:cs="Inter" w:eastAsia="Inter" w:hAnsi="Inter"/>
          <w:i/>
          <w:iCs/>
          <w:color w:val="0F172A"/>
          <w:sz w:val="20"/>
          <w:szCs w:val="20"/>
        </w:rPr>
        <w:t xml:space="preserve">February 28, 2026 · 10:00 am Pacific · Telephonic</w:t>
      </w:r>
    </w:p>
    <w:p>
      <w:pPr>
        <w:spacing w:after="120" w:line="300"/>
      </w:pPr>
      <w:r>
        <w:rPr>
          <w:rFonts w:ascii="Inter" w:cs="Inter" w:eastAsia="Inter" w:hAnsi="Inter"/>
          <w:color w:val="0F172A"/>
          <w:sz w:val="20"/>
          <w:szCs w:val="20"/>
        </w:rPr>
        <w:t xml:space="preserve">Present: Janet Kim (Chair), Amanda Chou. Also present: Elena Vasquez (CFO), Maria Alvarez (General Counsel, Secretary), and representatives of PwC.</w:t>
      </w:r>
    </w:p>
    <w:p>
      <w:pPr>
        <w:pStyle w:val="Heading2"/>
        <w:spacing w:after="120" w:before="240"/>
      </w:pPr>
      <w:r>
        <w:rPr>
          <w:rFonts w:ascii="Inter" w:cs="Inter" w:eastAsia="Inter" w:hAnsi="Inter"/>
          <w:b/>
          <w:bCs/>
          <w:color w:val="1E2761"/>
          <w:sz w:val="24"/>
          <w:szCs w:val="24"/>
        </w:rPr>
        <w:t xml:space="preserve">Review of FY2025 Audit</w:t>
      </w:r>
    </w:p>
    <w:p>
      <w:pPr>
        <w:spacing w:after="120" w:line="300"/>
      </w:pPr>
      <w:r>
        <w:rPr>
          <w:rFonts w:ascii="Inter" w:cs="Inter" w:eastAsia="Inter" w:hAnsi="Inter"/>
          <w:color w:val="0F172A"/>
          <w:sz w:val="20"/>
          <w:szCs w:val="20"/>
        </w:rPr>
        <w:t xml:space="preserve">PwC presented the near-final draft of the FY2025 audited financial statements. The Committee reviewed the statements together with PwC's management letter comments. PwC confirmed that they expected to issue an unqualified opinion. Management letter comments identified two recommendations: (1) strengthening the review process for complex revenue contracts involving non-standard terms (being addressed by a new pre-signature review process implemented February 2026); and (2) improving documentation of the monthly close checklist (addressed with the hire of a Senior FP&amp;A Manager in Q1 2026).</w:t>
      </w:r>
    </w:p>
    <w:p>
      <w:pPr>
        <w:pStyle w:val="Heading2"/>
        <w:spacing w:after="120" w:before="240"/>
      </w:pPr>
      <w:r>
        <w:rPr>
          <w:rFonts w:ascii="Inter" w:cs="Inter" w:eastAsia="Inter" w:hAnsi="Inter"/>
          <w:b/>
          <w:bCs/>
          <w:color w:val="1E2761"/>
          <w:sz w:val="24"/>
          <w:szCs w:val="24"/>
        </w:rPr>
        <w:t xml:space="preserve">Accounting Reclassification</w:t>
      </w:r>
    </w:p>
    <w:p>
      <w:pPr>
        <w:spacing w:after="120" w:line="300"/>
      </w:pPr>
      <w:r>
        <w:rPr>
          <w:rFonts w:ascii="Inter" w:cs="Inter" w:eastAsia="Inter" w:hAnsi="Inter"/>
          <w:color w:val="0F172A"/>
          <w:sz w:val="20"/>
          <w:szCs w:val="20"/>
        </w:rPr>
        <w:t xml:space="preserve">As previously reported to the full Board, PwC identified $180K of setup fees that had been classified as subscription revenue and recommended reclassification to services revenue under ASC 606. Management concurred with the treatment. The Committee reviewed the reclassification, noted its lack of impact on total revenue or operating results, and accepted it. The Committee directed management to update the Company's ARR bridge and investor materials to reflect the reclassified amounts consistently.</w:t>
      </w:r>
    </w:p>
    <w:p>
      <w:pPr>
        <w:pStyle w:val="Heading2"/>
        <w:spacing w:after="120" w:before="240"/>
      </w:pPr>
      <w:r>
        <w:rPr>
          <w:rFonts w:ascii="Inter" w:cs="Inter" w:eastAsia="Inter" w:hAnsi="Inter"/>
          <w:b/>
          <w:bCs/>
          <w:color w:val="1E2761"/>
          <w:sz w:val="24"/>
          <w:szCs w:val="24"/>
        </w:rPr>
        <w:t xml:space="preserve">Independence Confirmation</w:t>
      </w:r>
    </w:p>
    <w:p>
      <w:pPr>
        <w:spacing w:after="120" w:line="300"/>
      </w:pPr>
      <w:r>
        <w:rPr>
          <w:rFonts w:ascii="Inter" w:cs="Inter" w:eastAsia="Inter" w:hAnsi="Inter"/>
          <w:color w:val="0F172A"/>
          <w:sz w:val="20"/>
          <w:szCs w:val="20"/>
        </w:rPr>
        <w:t xml:space="preserve">PwC confirmed its independence from the Company and disclosed all professional services provided during the year, including the financial statement audit, the SOC 2 Type II readiness review (performed by a separate practice), and certain tax compliance services. The Committee accepted PwC's independence representation.</w:t>
      </w:r>
    </w:p>
    <w:p>
      <w:r>
        <w:br w:type="page"/>
      </w:r>
    </w:p>
    <w:p>
      <w:pPr>
        <w:pStyle w:val="Heading1"/>
        <w:spacing w:after="180" w:before="360"/>
      </w:pPr>
      <w:r>
        <w:rPr>
          <w:rFonts w:ascii="Inter" w:cs="Inter" w:eastAsia="Inter" w:hAnsi="Inter"/>
          <w:b/>
          <w:bCs/>
          <w:color w:val="1E2761"/>
          <w:sz w:val="30"/>
          <w:szCs w:val="30"/>
        </w:rPr>
        <w:t xml:space="preserve">Compensation Committee Meeting — Excerpt</w:t>
      </w:r>
    </w:p>
    <w:p>
      <w:pPr>
        <w:spacing w:after="120" w:line="300"/>
      </w:pPr>
      <w:r>
        <w:rPr>
          <w:rFonts w:ascii="Inter" w:cs="Inter" w:eastAsia="Inter" w:hAnsi="Inter"/>
          <w:i/>
          <w:iCs/>
          <w:color w:val="0F172A"/>
          <w:sz w:val="20"/>
          <w:szCs w:val="20"/>
        </w:rPr>
        <w:t xml:space="preserve">March 17, 2026 · 2:00 pm Pacific · Telephonic</w:t>
      </w:r>
    </w:p>
    <w:p>
      <w:pPr>
        <w:spacing w:after="120" w:line="300"/>
      </w:pPr>
      <w:r>
        <w:rPr>
          <w:rFonts w:ascii="Inter" w:cs="Inter" w:eastAsia="Inter" w:hAnsi="Inter"/>
          <w:color w:val="0F172A"/>
          <w:sz w:val="20"/>
          <w:szCs w:val="20"/>
        </w:rPr>
        <w:t xml:space="preserve">Present: Ben Ramirez (Chair), Ravi Menon. Also present: Sarah Chen (CEO) for Item 1 only, Jennifer Park (VP People Ops), and Maria Alvarez (General Counsel, Secretary).</w:t>
      </w:r>
    </w:p>
    <w:p>
      <w:pPr>
        <w:pStyle w:val="Heading2"/>
        <w:spacing w:after="120" w:before="240"/>
      </w:pPr>
      <w:r>
        <w:rPr>
          <w:rFonts w:ascii="Inter" w:cs="Inter" w:eastAsia="Inter" w:hAnsi="Inter"/>
          <w:b/>
          <w:bCs/>
          <w:color w:val="1E2761"/>
          <w:sz w:val="24"/>
          <w:szCs w:val="24"/>
        </w:rPr>
        <w:t xml:space="preserve">Item 1 — CEO Compensation Discussion</w:t>
      </w:r>
    </w:p>
    <w:p>
      <w:pPr>
        <w:spacing w:after="120" w:line="300"/>
      </w:pPr>
      <w:r>
        <w:rPr>
          <w:rFonts w:ascii="Inter" w:cs="Inter" w:eastAsia="Inter" w:hAnsi="Inter"/>
          <w:color w:val="0F172A"/>
          <w:sz w:val="20"/>
          <w:szCs w:val="20"/>
        </w:rPr>
        <w:t xml:space="preserve">The Committee met with the CEO to discuss her compensation alongside the Series B financing. The CEO acknowledged that as a founder-CEO her cash compensation had historically lagged the Radford 65th percentile benchmark. The Committee indicated that a compensation adjustment would be considered in connection with the close of the Series B, subject to benchmarking data being updated by People Ops. The CEO left the meeting at 2:22 pm.</w:t>
      </w:r>
    </w:p>
    <w:p>
      <w:pPr>
        <w:pStyle w:val="Heading2"/>
        <w:spacing w:after="120" w:before="240"/>
      </w:pPr>
      <w:r>
        <w:rPr>
          <w:rFonts w:ascii="Inter" w:cs="Inter" w:eastAsia="Inter" w:hAnsi="Inter"/>
          <w:b/>
          <w:bCs/>
          <w:color w:val="1E2761"/>
          <w:sz w:val="24"/>
          <w:szCs w:val="24"/>
        </w:rPr>
        <w:t xml:space="preserve">Item 2 — Series B Equity Pool Refresh</w:t>
      </w:r>
    </w:p>
    <w:p>
      <w:pPr>
        <w:spacing w:after="120" w:line="300"/>
      </w:pPr>
      <w:r>
        <w:rPr>
          <w:rFonts w:ascii="Inter" w:cs="Inter" w:eastAsia="Inter" w:hAnsi="Inter"/>
          <w:color w:val="0F172A"/>
          <w:sz w:val="20"/>
          <w:szCs w:val="20"/>
        </w:rPr>
        <w:t xml:space="preserve">The Committee discussed the proposed 12% pool refresh as part of the Series B. People Ops presented an analysis of the existing pool (1.8% unallocated) against the projected hiring plan through FY2027 (requiring approximately 7–9% of new grants). The Committee concluded that 12% was an appropriate size to cover the plan with headroom for retention refreshes. The Committee recommended that the Board approve the 12% refresh as part of the Series B closing package.</w:t>
      </w:r>
    </w:p>
    <w:p>
      <w:pPr>
        <w:pStyle w:val="Heading2"/>
        <w:spacing w:after="120" w:before="240"/>
      </w:pPr>
      <w:r>
        <w:rPr>
          <w:rFonts w:ascii="Inter" w:cs="Inter" w:eastAsia="Inter" w:hAnsi="Inter"/>
          <w:b/>
          <w:bCs/>
          <w:color w:val="1E2761"/>
          <w:sz w:val="24"/>
          <w:szCs w:val="24"/>
        </w:rPr>
        <w:t xml:space="preserve">Item 3 — Executive Retention Considerations</w:t>
      </w:r>
    </w:p>
    <w:p>
      <w:pPr>
        <w:spacing w:after="120" w:line="300"/>
      </w:pPr>
      <w:r>
        <w:rPr>
          <w:rFonts w:ascii="Inter" w:cs="Inter" w:eastAsia="Inter" w:hAnsi="Inter"/>
          <w:color w:val="0F172A"/>
          <w:sz w:val="20"/>
          <w:szCs w:val="20"/>
        </w:rPr>
        <w:t xml:space="preserve">The Committee reviewed retention risk for the top 10 employees by criticality. The Committee identified three individuals for whom a retention grant would be recommended. Specific names and grant sizes are set forth in a confidential annex to these minutes and are not reproduced here.</w:t>
      </w:r>
    </w:p>
    <w:p>
      <w:pPr>
        <w:spacing w:after="120"/>
      </w:pPr>
      <w:r>
        <w:t xml:space="preserve"/>
      </w:r>
    </w:p>
    <w:p>
      <w:pPr>
        <w:spacing w:after="100"/>
      </w:pPr>
      <w:r>
        <w:rPr>
          <w:rFonts w:ascii="Inter" w:cs="Inter" w:eastAsia="Inter" w:hAnsi="Inter"/>
          <w:i/>
          <w:iCs/>
          <w:color w:val="6B7280"/>
          <w:sz w:val="18"/>
          <w:szCs w:val="18"/>
        </w:rPr>
        <w:t xml:space="preserve">These minutes and consents have been compiled from the Company's corporate record book. Certain confidential commercial and personnel matters have been redacted consistent with standard practice for investor due diligence. The complete, unredacted records are available for review by the lead investor's counsel at closing under customary arrangements.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pPr>
    <w:r>
      <w:rPr>
        <w:rFonts w:ascii="Inter" w:cs="Inter" w:eastAsia="Inter" w:hAnsi="Inter"/>
        <w:color w:val="6B7280"/>
        <w:sz w:val="16"/>
        <w:szCs w:val="16"/>
      </w:rPr>
      <w:t xml:space="preserve">Compiled by General Counsel</w:t>
    </w:r>
    <w:r>
      <w:rPr>
        <w:rFonts w:ascii="Inter" w:cs="Inter" w:eastAsia="Inter" w:hAnsi="Inter"/>
        <w:color w:val="6B7280"/>
        <w:sz w:val="16"/>
        <w:szCs w:val="16"/>
      </w:rPr>
      <w:t xml:space="preserve">	Page </w:t>
    </w:r>
    <w:r>
      <w:rPr>
        <w:rFonts w:ascii="Inter" w:cs="Inter" w:eastAsia="Inter" w:hAnsi="Inter"/>
        <w:color w:val="6B7280"/>
        <w:sz w:val="16"/>
        <w:szCs w:val="16"/>
      </w:rPr>
      <w:fldChar w:fldCharType="begin"/>
      <w:instrText xml:space="preserve">PAGE</w:instrText>
      <w:fldChar w:fldCharType="separate"/>
      <w:fldChar w:fldCharType="end"/>
    </w:r>
    <w:r>
      <w:rPr>
        <w:rFonts w:ascii="Inter" w:cs="Inter" w:eastAsia="Inter" w:hAnsi="Inter"/>
        <w:color w:val="6B7280"/>
        <w:sz w:val="16"/>
        <w:szCs w:val="16"/>
      </w:rPr>
      <w:t xml:space="preserve"> of </w:t>
    </w:r>
    <w:r>
      <w:rPr>
        <w:rFonts w:ascii="Inter" w:cs="Inter" w:eastAsia="Inter" w:hAnsi="Inter"/>
        <w:color w:val="6B7280"/>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rPr>
        <w:rFonts w:ascii="Inter" w:cs="Inter" w:eastAsia="Inter" w:hAnsi="Inter"/>
        <w:b/>
        <w:bCs/>
        <w:color w:val="6B7280"/>
        <w:sz w:val="16"/>
        <w:szCs w:val="16"/>
      </w:rPr>
      <w:t xml:space="preserve">ARCUS, INC.</w:t>
    </w:r>
    <w:r>
      <w:rPr>
        <w:rFonts w:ascii="Inter" w:cs="Inter" w:eastAsia="Inter" w:hAnsi="Inter"/>
        <w:color w:val="6B7280"/>
        <w:sz w:val="16"/>
        <w:szCs w:val="16"/>
      </w:rPr>
      <w:t xml:space="preserve">	Board Minutes &amp; Resolutions · Attorney Work Product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Inter" w:cs="Inter" w:eastAsia="Inter" w:hAnsi="Inter"/>
      <w:b/>
      <w:bCs/>
      <w:color w:val="1E2761"/>
      <w:sz w:val="32"/>
      <w:szCs w:val="32"/>
    </w:rPr>
  </w:style>
  <w:style w:type="paragraph" w:styleId="Heading2">
    <w:name w:val="Heading 2"/>
    <w:basedOn w:val="Normal"/>
    <w:next w:val="Normal"/>
    <w:qFormat/>
    <w:pPr>
      <w:spacing w:after="120" w:before="240"/>
      <w:outlineLvl w:val="1"/>
    </w:pPr>
    <w:rPr>
      <w:rFonts w:ascii="Inter" w:cs="Inter" w:eastAsia="Inter" w:hAnsi="Inter"/>
      <w:b/>
      <w:bCs/>
      <w:color w:val="1E2761"/>
      <w:sz w:val="26"/>
      <w:szCs w:val="26"/>
    </w:rPr>
  </w:style>
  <w:style w:type="paragraph" w:styleId="Heading3">
    <w:name w:val="Heading 3"/>
    <w:basedOn w:val="Normal"/>
    <w:next w:val="Normal"/>
    <w:qFormat/>
    <w:pPr>
      <w:spacing w:after="80" w:before="200"/>
      <w:outlineLvl w:val="2"/>
    </w:pPr>
    <w:rPr>
      <w:rFonts w:ascii="Inter" w:cs="Inter" w:eastAsia="Inter" w:hAnsi="Inter"/>
      <w:b/>
      <w:bCs/>
      <w:color w:val="D97706"/>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Arcus — Board Minutes &amp; Resolutions</dc:title>
  <dc:creator>Maria Alvarez, General Counsel</dc:creator>
  <cp:lastModifiedBy>Un-named</cp:lastModifiedBy>
  <cp:revision>1</cp:revision>
  <dcterms:created xsi:type="dcterms:W3CDTF">2026-04-08T20:53:44.186Z</dcterms:created>
  <dcterms:modified xsi:type="dcterms:W3CDTF">2026-04-08T20:53:44.186Z</dcterms:modified>
</cp:coreProperties>
</file>

<file path=docProps/custom.xml><?xml version="1.0" encoding="utf-8"?>
<Properties xmlns="http://schemas.openxmlformats.org/officeDocument/2006/custom-properties" xmlns:vt="http://schemas.openxmlformats.org/officeDocument/2006/docPropsVTypes"/>
</file>